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9F" w:rsidRPr="00366EC9" w:rsidRDefault="00A14C9F" w:rsidP="00A14C9F">
      <w:pPr>
        <w:suppressAutoHyphens/>
        <w:autoSpaceDN w:val="0"/>
        <w:ind w:left="6480" w:hanging="540"/>
        <w:jc w:val="right"/>
        <w:rPr>
          <w:rFonts w:eastAsia="Calibri"/>
          <w:sz w:val="28"/>
          <w:szCs w:val="28"/>
          <w:lang w:val="ro-RO" w:eastAsia="ro-RO"/>
        </w:rPr>
      </w:pPr>
      <w:r w:rsidRPr="00366EC9">
        <w:rPr>
          <w:rFonts w:eastAsia="Calibri"/>
          <w:sz w:val="28"/>
          <w:szCs w:val="28"/>
          <w:lang w:val="ro-RO" w:eastAsia="ro-RO"/>
        </w:rPr>
        <w:t xml:space="preserve">Anexa nr.13 </w:t>
      </w:r>
    </w:p>
    <w:p w:rsidR="00A14C9F" w:rsidRPr="00366EC9" w:rsidRDefault="00A14C9F" w:rsidP="00A14C9F">
      <w:pPr>
        <w:suppressAutoHyphens/>
        <w:autoSpaceDN w:val="0"/>
        <w:ind w:left="6480" w:hanging="540"/>
        <w:jc w:val="right"/>
        <w:rPr>
          <w:rFonts w:eastAsia="Calibri"/>
          <w:sz w:val="28"/>
          <w:szCs w:val="28"/>
          <w:lang w:val="ro-RO" w:eastAsia="ro-RO"/>
        </w:rPr>
      </w:pPr>
      <w:r w:rsidRPr="00366EC9">
        <w:rPr>
          <w:rFonts w:eastAsia="Calibri"/>
          <w:sz w:val="28"/>
          <w:szCs w:val="28"/>
          <w:lang w:val="ro-RO" w:eastAsia="ro-RO"/>
        </w:rPr>
        <w:t xml:space="preserve">la Hotărîrea Guvernului </w:t>
      </w:r>
    </w:p>
    <w:p w:rsidR="00A14C9F" w:rsidRPr="00366EC9" w:rsidRDefault="00A14C9F" w:rsidP="00A14C9F">
      <w:pPr>
        <w:suppressAutoHyphens/>
        <w:autoSpaceDN w:val="0"/>
        <w:ind w:left="6480" w:hanging="540"/>
        <w:jc w:val="right"/>
        <w:rPr>
          <w:rFonts w:eastAsia="Calibri"/>
          <w:sz w:val="28"/>
          <w:szCs w:val="28"/>
          <w:lang w:val="ro-RO" w:eastAsia="ro-RO"/>
        </w:rPr>
      </w:pPr>
      <w:r w:rsidRPr="00366EC9">
        <w:rPr>
          <w:rFonts w:eastAsia="Calibri"/>
          <w:sz w:val="28"/>
          <w:szCs w:val="28"/>
          <w:lang w:val="ro-RO" w:eastAsia="ro-RO"/>
        </w:rPr>
        <w:t xml:space="preserve">nr.182 din 16 martie 2010 </w:t>
      </w:r>
    </w:p>
    <w:p w:rsidR="00A14C9F" w:rsidRPr="00366EC9" w:rsidRDefault="00A14C9F" w:rsidP="00A14C9F">
      <w:pPr>
        <w:suppressAutoHyphens/>
        <w:autoSpaceDN w:val="0"/>
        <w:ind w:firstLine="567"/>
        <w:jc w:val="left"/>
        <w:rPr>
          <w:rFonts w:eastAsia="Calibri"/>
          <w:sz w:val="28"/>
          <w:szCs w:val="28"/>
          <w:lang w:val="ro-RO" w:eastAsia="ro-RO"/>
        </w:rPr>
      </w:pPr>
      <w:r w:rsidRPr="00366EC9">
        <w:rPr>
          <w:rFonts w:eastAsia="Calibri"/>
          <w:sz w:val="28"/>
          <w:szCs w:val="28"/>
          <w:lang w:val="ro-RO" w:eastAsia="ro-RO"/>
        </w:rPr>
        <w:t> </w:t>
      </w:r>
    </w:p>
    <w:p w:rsidR="00A14C9F" w:rsidRPr="00366EC9" w:rsidRDefault="00A14C9F" w:rsidP="00A14C9F">
      <w:pPr>
        <w:suppressAutoHyphens/>
        <w:autoSpaceDN w:val="0"/>
        <w:ind w:firstLine="0"/>
        <w:jc w:val="center"/>
        <w:rPr>
          <w:rFonts w:eastAsia="Calibri"/>
          <w:b/>
          <w:bCs/>
          <w:sz w:val="28"/>
          <w:szCs w:val="28"/>
          <w:lang w:val="ro-RO" w:eastAsia="ro-RO"/>
        </w:rPr>
      </w:pPr>
      <w:r w:rsidRPr="00366EC9">
        <w:rPr>
          <w:rFonts w:eastAsia="Calibri"/>
          <w:b/>
          <w:bCs/>
          <w:sz w:val="28"/>
          <w:szCs w:val="28"/>
          <w:lang w:val="ro-RO" w:eastAsia="ro-RO"/>
        </w:rPr>
        <w:t xml:space="preserve">Structura, efectivul de personal şi indemnizaţiile de funcţie ale </w:t>
      </w:r>
    </w:p>
    <w:p w:rsidR="00A14C9F" w:rsidRDefault="00A14C9F" w:rsidP="00A14C9F">
      <w:pPr>
        <w:suppressAutoHyphens/>
        <w:autoSpaceDN w:val="0"/>
        <w:ind w:firstLine="0"/>
        <w:jc w:val="center"/>
        <w:rPr>
          <w:rFonts w:eastAsia="Calibri"/>
          <w:b/>
          <w:bCs/>
          <w:sz w:val="28"/>
          <w:szCs w:val="28"/>
          <w:lang w:val="ro-RO" w:eastAsia="ro-RO"/>
        </w:rPr>
      </w:pPr>
      <w:r w:rsidRPr="00366EC9">
        <w:rPr>
          <w:rFonts w:eastAsia="Calibri"/>
          <w:b/>
          <w:bCs/>
          <w:sz w:val="28"/>
          <w:szCs w:val="28"/>
          <w:lang w:val="ro-RO" w:eastAsia="ro-RO"/>
        </w:rPr>
        <w:t>Ambasadei Republicii Moldova în Federaţia Rusă</w:t>
      </w:r>
    </w:p>
    <w:p w:rsidR="00A14C9F" w:rsidRPr="00366EC9" w:rsidRDefault="00A14C9F" w:rsidP="00A14C9F">
      <w:pPr>
        <w:suppressAutoHyphens/>
        <w:autoSpaceDN w:val="0"/>
        <w:ind w:firstLine="0"/>
        <w:jc w:val="center"/>
        <w:rPr>
          <w:rFonts w:eastAsia="Calibri"/>
          <w:bCs/>
          <w:sz w:val="28"/>
          <w:szCs w:val="28"/>
          <w:lang w:val="ro-RO" w:eastAsia="ro-RO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393"/>
        <w:gridCol w:w="2695"/>
        <w:gridCol w:w="1573"/>
        <w:gridCol w:w="1455"/>
      </w:tblGrid>
      <w:tr w:rsidR="00A14C9F" w:rsidRPr="002A249D" w:rsidTr="00DF5ED6">
        <w:trPr>
          <w:trHeight w:val="926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  <w:t>Funcţia</w:t>
            </w:r>
          </w:p>
        </w:tc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  <w:t>Procentul din</w:t>
            </w:r>
            <w:r w:rsidRPr="00AD3952"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  <w:br/>
              <w:t xml:space="preserve">indemnizaţia şefului </w:t>
            </w:r>
            <w:r w:rsidRPr="00AD3952"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  <w:br/>
              <w:t>misiunii diplomatice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  <w:t>Unităţi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  <w:t>Indemnizaţia de</w:t>
            </w:r>
            <w:r w:rsidRPr="00AD3952"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  <w:br/>
              <w:t>funcţie lunară</w:t>
            </w:r>
            <w:r w:rsidRPr="00AD3952"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  <w:br/>
              <w:t>(euro)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Ambasador</w:t>
            </w:r>
          </w:p>
        </w:tc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o-RO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2100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Ministru-consilier</w:t>
            </w:r>
          </w:p>
        </w:tc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90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1890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Consilier</w:t>
            </w:r>
          </w:p>
        </w:tc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85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2* x 1785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3570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Consilier (probleme consulare)</w:t>
            </w:r>
          </w:p>
        </w:tc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85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1785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Consilier (ataşat vamal)</w:t>
            </w:r>
          </w:p>
        </w:tc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85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1**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1785</w:t>
            </w:r>
          </w:p>
        </w:tc>
      </w:tr>
      <w:tr w:rsidR="00A14C9F" w:rsidRPr="00AD3952" w:rsidTr="00DF5ED6">
        <w:trPr>
          <w:trHeight w:val="297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Secretar I</w:t>
            </w:r>
          </w:p>
        </w:tc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80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1680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Secretar I (probleme consulare)</w:t>
            </w:r>
          </w:p>
        </w:tc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80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1680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Secretar II</w:t>
            </w:r>
          </w:p>
        </w:tc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70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1470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b/>
                <w:sz w:val="24"/>
                <w:szCs w:val="24"/>
                <w:lang w:val="ro-RO"/>
              </w:rPr>
              <w:t>Serviciul comercial-economic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Ministru-consilier</w:t>
            </w:r>
          </w:p>
        </w:tc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90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1890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/>
              </w:rPr>
              <w:t>85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/>
              </w:rPr>
              <w:t>1785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 xml:space="preserve">Secretar II </w:t>
            </w:r>
          </w:p>
        </w:tc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70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bCs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bCs/>
                <w:sz w:val="24"/>
                <w:szCs w:val="24"/>
                <w:lang w:val="ro-RO" w:eastAsia="ro-RO"/>
              </w:rPr>
              <w:t>1470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AD3952"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  <w:t>Total:</w:t>
            </w:r>
          </w:p>
        </w:tc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o-RO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AD3952"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  <w:t>12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AD3952">
              <w:rPr>
                <w:rFonts w:eastAsia="Calibri"/>
                <w:b/>
                <w:sz w:val="24"/>
                <w:szCs w:val="24"/>
                <w:lang w:val="ro-RO"/>
              </w:rPr>
              <w:t>21105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  <w:t>Serviciul financiar-administrativ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Şef serviciu, contabil-şef</w:t>
            </w:r>
          </w:p>
        </w:tc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60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1260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Contabil-casier</w:t>
            </w:r>
          </w:p>
        </w:tc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40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840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Administrator, şofer</w:t>
            </w:r>
          </w:p>
        </w:tc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55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1155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Şofer</w:t>
            </w:r>
          </w:p>
        </w:tc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40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840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AD3952"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  <w:t>Total serviciu:</w:t>
            </w:r>
          </w:p>
        </w:tc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o-RO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AD3952"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AD3952"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  <w:t>4 095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  <w:t>Serviciul cancelarie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Şef de cancelarie</w:t>
            </w:r>
          </w:p>
        </w:tc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55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1155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Secretar administrativ superior</w:t>
            </w:r>
          </w:p>
        </w:tc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40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 w:rsidRPr="00AD3952">
              <w:rPr>
                <w:rFonts w:eastAsia="Calibri"/>
                <w:sz w:val="24"/>
                <w:szCs w:val="24"/>
                <w:lang w:val="ro-RO" w:eastAsia="ro-RO"/>
              </w:rPr>
              <w:t>840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AD3952"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  <w:t>Total serviciu:</w:t>
            </w:r>
          </w:p>
        </w:tc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o-RO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AD3952"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AD3952"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  <w:t>1 995</w:t>
            </w:r>
          </w:p>
        </w:tc>
      </w:tr>
      <w:tr w:rsidR="00A14C9F" w:rsidRPr="00AD3952" w:rsidTr="00DF5ED6">
        <w:trPr>
          <w:trHeight w:val="315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AD3952"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  <w:t>Total general:</w:t>
            </w:r>
          </w:p>
        </w:tc>
        <w:tc>
          <w:tcPr>
            <w:tcW w:w="1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left"/>
              <w:rPr>
                <w:rFonts w:eastAsia="Calibri"/>
                <w:sz w:val="24"/>
                <w:szCs w:val="24"/>
                <w:lang w:val="ro-RO" w:eastAsia="ro-RO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AD3952"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  <w:t>18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14C9F" w:rsidRPr="00AD3952" w:rsidRDefault="00A14C9F" w:rsidP="00DF5ED6">
            <w:pPr>
              <w:suppressAutoHyphens/>
              <w:autoSpaceDN w:val="0"/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AD3952">
              <w:rPr>
                <w:rFonts w:eastAsia="Calibri"/>
                <w:b/>
                <w:bCs/>
                <w:sz w:val="24"/>
                <w:szCs w:val="24"/>
                <w:lang w:val="ro-RO" w:eastAsia="ro-RO"/>
              </w:rPr>
              <w:t xml:space="preserve"> 27195</w:t>
            </w:r>
          </w:p>
        </w:tc>
      </w:tr>
    </w:tbl>
    <w:p w:rsidR="00A14C9F" w:rsidRPr="00366EC9" w:rsidRDefault="00A14C9F" w:rsidP="00A14C9F">
      <w:pPr>
        <w:suppressAutoHyphens/>
        <w:autoSpaceDN w:val="0"/>
        <w:ind w:right="56" w:firstLine="709"/>
        <w:rPr>
          <w:rFonts w:eastAsia="Calibri"/>
          <w:sz w:val="24"/>
          <w:szCs w:val="24"/>
          <w:lang w:val="ro-RO" w:eastAsia="ro-RO"/>
        </w:rPr>
      </w:pPr>
    </w:p>
    <w:p w:rsidR="00A14C9F" w:rsidRPr="00366EC9" w:rsidRDefault="00A14C9F" w:rsidP="00A14C9F">
      <w:pPr>
        <w:suppressAutoHyphens/>
        <w:autoSpaceDN w:val="0"/>
        <w:ind w:right="56" w:firstLine="709"/>
        <w:rPr>
          <w:rFonts w:eastAsia="Calibri"/>
          <w:sz w:val="24"/>
          <w:szCs w:val="24"/>
          <w:lang w:val="ro-RO"/>
        </w:rPr>
      </w:pPr>
      <w:r w:rsidRPr="00366EC9">
        <w:rPr>
          <w:rFonts w:eastAsia="Calibri"/>
          <w:sz w:val="24"/>
          <w:szCs w:val="24"/>
          <w:lang w:val="ro-RO" w:eastAsia="ro-RO"/>
        </w:rPr>
        <w:t xml:space="preserve">* O unitate de consilier este suplinită de reprezentantul oficial al Serviciului de Informaţii şi Securitate al Republicii Moldova. </w:t>
      </w:r>
    </w:p>
    <w:p w:rsidR="002873C3" w:rsidRDefault="00A14C9F" w:rsidP="00A14C9F">
      <w:r w:rsidRPr="00366EC9">
        <w:rPr>
          <w:rFonts w:eastAsia="Calibri"/>
          <w:sz w:val="24"/>
          <w:szCs w:val="24"/>
          <w:lang w:val="ro-RO" w:eastAsia="ro-RO"/>
        </w:rPr>
        <w:t>** Unitatea de consilier (ataşat vamal) este suplinită de reprezentantul oficial al Serviciului Vamal al Republicii Moldova, care se confirmă prin ordin</w:t>
      </w:r>
      <w:r>
        <w:rPr>
          <w:rFonts w:eastAsia="Calibri"/>
          <w:sz w:val="24"/>
          <w:szCs w:val="24"/>
          <w:lang w:val="ro-RO" w:eastAsia="ro-RO"/>
        </w:rPr>
        <w:t xml:space="preserve"> a</w:t>
      </w:r>
      <w:r w:rsidRPr="00366EC9">
        <w:rPr>
          <w:rFonts w:eastAsia="Calibri"/>
          <w:sz w:val="24"/>
          <w:szCs w:val="24"/>
          <w:lang w:val="ro-RO" w:eastAsia="ro-RO"/>
        </w:rPr>
        <w:t>l ministrului afacerilor externe şi integrării europene. Cheltuielile pentru întreţinerea unităţii se vor efectua din mijloacele Serviciului Vamal</w:t>
      </w:r>
      <w:r>
        <w:rPr>
          <w:rFonts w:eastAsia="Calibri"/>
          <w:sz w:val="24"/>
          <w:szCs w:val="24"/>
          <w:lang w:val="ro-RO" w:eastAsia="ro-RO"/>
        </w:rPr>
        <w:t>.</w:t>
      </w:r>
    </w:p>
    <w:sectPr w:rsidR="002873C3" w:rsidSect="00A14C9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14C9F"/>
    <w:rsid w:val="002873C3"/>
    <w:rsid w:val="00A1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2018-04-21T05:47:00Z</dcterms:created>
  <dcterms:modified xsi:type="dcterms:W3CDTF">2018-04-21T05:47:00Z</dcterms:modified>
</cp:coreProperties>
</file>